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речевого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К.М.06.02.02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речевого развития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К.М.06.02.02 «Технологии речевого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речевого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изучаемым содержанием</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К.М.06.02.02 «Технологии речевого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Теории и технологии развития речи детей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Теории и технологии развития речи детей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30.0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Теории и технологии развития речи детей как наука и учебная дисциплина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и технологии развития речи детей как наука и учебная дисциплина. 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Современные  концепции  онтогенеза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Система работы по развитию речи в дошкольном учреждении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Критерии оценки программ.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Теория и технологии развития связной речи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 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pPr>
              <w:jc w:val="both"/>
              <w:spacing w:after="0" w:line="240" w:lineRule="auto"/>
              <w:rPr>
                <w:sz w:val="24"/>
                <w:szCs w:val="24"/>
              </w:rPr>
            </w:pPr>
            <w:r>
              <w:rPr>
                <w:rFonts w:ascii="Times New Roman" w:hAnsi="Times New Roman" w:cs="Times New Roman"/>
                <w:color w:val="#000000"/>
                <w:sz w:val="24"/>
                <w:szCs w:val="24"/>
              </w:rPr>
              <w:t> Особенности развития связной речи на протяжении дошко¬льного детства. Понятия ситуа -тивной и контекстной речи. Усло¬вия перехода от ситуативной  речи к контекстной. Освоение ре¬бенком видов связной речи.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речевого развития детей дошкольного возраста»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Младшая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средняя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Старшая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подготовительная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Структурно-слоговая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http://www.iprbookshop.ru/24029.html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Личностная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коммуникативная</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http://www.iprbookshop.ru/23997.html</w:t>
            </w:r>
            <w:r>
              <w:rPr/>
              <w:t xml:space="preserve"> </w:t>
            </w:r>
          </w:p>
        </w:tc>
      </w:tr>
      <w:tr>
        <w:trPr>
          <w:trHeight w:hRule="exact" w:val="897.28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http://www.iprbookshop.ru/15622.html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2024-2025_ФГОС3++2024_Бак-ЗФО-ПО2(ДОиНО)(24)_plx_Технологии речевого развития детей дошкольного возраста</dc:title>
  <dc:creator>FastReport.NET</dc:creator>
</cp:coreProperties>
</file>